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1E5ED51D"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CPSA – Raven Doran</w:t>
      </w:r>
      <w:r>
        <w:rPr>
          <w:i/>
        </w:rPr>
        <w:t xml:space="preserve"> - </w:t>
      </w:r>
      <w:r w:rsidR="00C0736A">
        <w:rPr>
          <w:i/>
        </w:rPr>
        <w:t>PWSID No.</w:t>
      </w:r>
      <w:r>
        <w:rPr>
          <w:i/>
        </w:rPr>
        <w:t>11</w:t>
      </w:r>
      <w:r w:rsidR="004D69FB">
        <w:rPr>
          <w:i/>
        </w:rPr>
        <w:t>85685</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31651BB8"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820A7C">
        <w:rPr>
          <w:rFonts w:cs="Arial"/>
          <w:sz w:val="20"/>
        </w:rPr>
        <w:t>Jan Cordle at 276-988-1704 or Mike Dowdy at 276-964-4711.</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7ED46923"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820A7C">
        <w:rPr>
          <w:rFonts w:cs="Arial"/>
          <w:sz w:val="20"/>
        </w:rPr>
        <w:t>Jan Cordle at 276-988-1704.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13FE9C90"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032E94E2" w14:textId="0BCB5164"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w:t>
      </w:r>
      <w:r w:rsidR="00710713" w:rsidRPr="00AB1E30">
        <w:rPr>
          <w:rFonts w:cs="Arial"/>
          <w:sz w:val="20"/>
        </w:rPr>
        <w:t xml:space="preserve"> </w:t>
      </w:r>
      <w:r w:rsidRPr="00AB1E30">
        <w:rPr>
          <w:rFonts w:cs="Arial"/>
          <w:sz w:val="20"/>
        </w:rPr>
        <w:t xml:space="preserve">of your drinking water is </w:t>
      </w:r>
      <w:r w:rsidR="004D69FB">
        <w:rPr>
          <w:rFonts w:cs="Arial"/>
          <w:sz w:val="20"/>
        </w:rPr>
        <w:t xml:space="preserve">surface water taken from the Clinch River. Raven Doran water is bulk purchased from the Town of Richlands. </w:t>
      </w:r>
    </w:p>
    <w:p w14:paraId="2D126490"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35A8C693" w14:textId="77777777"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Is there any treatment of your drinking water supply?   (</w:t>
      </w:r>
      <w:r w:rsidR="001C1D95">
        <w:rPr>
          <w:rFonts w:cs="Arial"/>
          <w:sz w:val="20"/>
        </w:rPr>
        <w:t>X</w:t>
      </w:r>
      <w:r w:rsidRPr="00AB1E30">
        <w:rPr>
          <w:rFonts w:cs="Arial"/>
          <w:sz w:val="20"/>
        </w:rPr>
        <w:t>) Yes    (   ) No</w:t>
      </w:r>
    </w:p>
    <w:p w14:paraId="26D6D337"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553F6C3" w14:textId="52F6F570"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w:t>
      </w:r>
      <w:r w:rsidR="004D69FB">
        <w:rPr>
          <w:rFonts w:cs="Arial"/>
          <w:sz w:val="20"/>
        </w:rPr>
        <w:t>the Richlands Water</w:t>
      </w:r>
      <w:r w:rsidR="000807C7" w:rsidRPr="00AB1E30">
        <w:rPr>
          <w:rFonts w:cs="Arial"/>
          <w:sz w:val="20"/>
        </w:rPr>
        <w:t xml:space="preserve"> </w:t>
      </w:r>
      <w:r w:rsidR="004D69FB">
        <w:rPr>
          <w:rFonts w:cs="Arial"/>
          <w:sz w:val="20"/>
        </w:rPr>
        <w:t>S</w:t>
      </w:r>
      <w:r w:rsidR="000807C7" w:rsidRPr="00AB1E30">
        <w:rPr>
          <w:rFonts w:cs="Arial"/>
          <w:sz w:val="20"/>
        </w:rPr>
        <w:t xml:space="preserve">ystem during </w:t>
      </w:r>
      <w:r w:rsidR="001C1D95">
        <w:rPr>
          <w:rFonts w:cs="Arial"/>
          <w:sz w:val="20"/>
        </w:rPr>
        <w:t>20</w:t>
      </w:r>
      <w:r w:rsidR="004D69FB">
        <w:rPr>
          <w:rFonts w:cs="Arial"/>
          <w:sz w:val="20"/>
        </w:rPr>
        <w:t>19</w:t>
      </w:r>
      <w:r w:rsidR="000807C7" w:rsidRPr="00AB1E30">
        <w:rPr>
          <w:rFonts w:cs="Arial"/>
          <w:sz w:val="20"/>
        </w:rPr>
        <w:t xml:space="preserve">.  The </w:t>
      </w:r>
      <w:r w:rsidR="004D69FB">
        <w:rPr>
          <w:rFonts w:cs="Arial"/>
          <w:sz w:val="20"/>
        </w:rPr>
        <w:t>Clinch River</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4D69FB">
        <w:rPr>
          <w:rFonts w:cs="Arial"/>
          <w:sz w:val="20"/>
        </w:rPr>
        <w:t xml:space="preserve">the Richlands Water Treatment Plant at 276-964-2578. </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60"/>
        <w:gridCol w:w="1710"/>
        <w:gridCol w:w="1440"/>
        <w:gridCol w:w="990"/>
        <w:gridCol w:w="1530"/>
        <w:gridCol w:w="990"/>
        <w:gridCol w:w="4353"/>
      </w:tblGrid>
      <w:tr w:rsidR="00E56D18" w:rsidRPr="003B7B26" w14:paraId="42F41A03" w14:textId="77777777" w:rsidTr="008F6095">
        <w:trPr>
          <w:cantSplit/>
        </w:trPr>
        <w:tc>
          <w:tcPr>
            <w:tcW w:w="223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26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8F6095">
        <w:trPr>
          <w:cantSplit/>
          <w:trHeight w:val="600"/>
        </w:trPr>
        <w:tc>
          <w:tcPr>
            <w:tcW w:w="223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26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0CC1D9F3" w:rsidR="004A0358" w:rsidRPr="003B7B26" w:rsidRDefault="008F6095" w:rsidP="00AE4D47">
            <w:pPr>
              <w:pStyle w:val="Preformatted"/>
              <w:tabs>
                <w:tab w:val="clear" w:pos="9590"/>
              </w:tabs>
              <w:jc w:val="center"/>
              <w:rPr>
                <w:rFonts w:ascii="Arial" w:hAnsi="Arial" w:cs="Arial"/>
                <w:sz w:val="18"/>
                <w:szCs w:val="18"/>
              </w:rPr>
            </w:pPr>
            <w:r>
              <w:rPr>
                <w:rFonts w:ascii="Arial" w:hAnsi="Arial" w:cs="Arial"/>
                <w:sz w:val="18"/>
                <w:szCs w:val="18"/>
              </w:rPr>
              <w:t>1.07</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8F6095">
        <w:trPr>
          <w:cantSplit/>
          <w:trHeight w:val="255"/>
        </w:trPr>
        <w:tc>
          <w:tcPr>
            <w:tcW w:w="223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26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74BFCA73"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58</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8F6095">
        <w:trPr>
          <w:cantSplit/>
          <w:trHeight w:val="1002"/>
        </w:trPr>
        <w:tc>
          <w:tcPr>
            <w:tcW w:w="223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26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4D4A9093" w:rsidR="00580748" w:rsidRDefault="00580748" w:rsidP="001C1D95">
            <w:pPr>
              <w:pStyle w:val="BodyText2"/>
              <w:jc w:val="center"/>
              <w:rPr>
                <w:rFonts w:ascii="Arial" w:hAnsi="Arial" w:cs="Arial"/>
                <w:sz w:val="18"/>
                <w:szCs w:val="18"/>
              </w:rPr>
            </w:pPr>
            <w:r>
              <w:rPr>
                <w:rFonts w:ascii="Arial" w:hAnsi="Arial" w:cs="Arial"/>
                <w:sz w:val="18"/>
                <w:szCs w:val="18"/>
              </w:rPr>
              <w:t>ND</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77777777" w:rsidR="00580748" w:rsidRDefault="00580748" w:rsidP="001C1D95">
            <w:pPr>
              <w:pStyle w:val="Preformatted"/>
              <w:tabs>
                <w:tab w:val="clear" w:pos="9590"/>
              </w:tabs>
              <w:jc w:val="center"/>
              <w:rPr>
                <w:rFonts w:ascii="Arial" w:hAnsi="Arial" w:cs="Arial"/>
                <w:sz w:val="18"/>
                <w:szCs w:val="18"/>
              </w:rPr>
            </w:pP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1C1D95" w:rsidRPr="003B7B26" w14:paraId="4FEFEB93" w14:textId="77777777" w:rsidTr="008F6095">
        <w:trPr>
          <w:cantSplit/>
          <w:trHeight w:val="255"/>
        </w:trPr>
        <w:tc>
          <w:tcPr>
            <w:tcW w:w="2235" w:type="dxa"/>
            <w:tcBorders>
              <w:top w:val="nil"/>
              <w:bottom w:val="single" w:sz="6" w:space="0" w:color="auto"/>
            </w:tcBorders>
            <w:vAlign w:val="center"/>
          </w:tcPr>
          <w:p w14:paraId="3A3A957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Combined Radium (pCi/l)</w:t>
            </w:r>
          </w:p>
        </w:tc>
        <w:tc>
          <w:tcPr>
            <w:tcW w:w="1260" w:type="dxa"/>
            <w:tcBorders>
              <w:top w:val="nil"/>
              <w:bottom w:val="single" w:sz="6" w:space="0" w:color="auto"/>
            </w:tcBorders>
            <w:vAlign w:val="center"/>
          </w:tcPr>
          <w:p w14:paraId="7483F13B"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04CA54D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19566D7C" w:rsidR="001C1D95" w:rsidRPr="003B7B26" w:rsidRDefault="008F6095" w:rsidP="001C1D95">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659DA0EC"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2F5C89EA" w14:textId="3A701B65" w:rsidR="001C1D95" w:rsidRPr="003B7B26" w:rsidRDefault="008F6095" w:rsidP="008F6095">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1C1D95" w:rsidRPr="003B7B26" w14:paraId="4BD3D5BE" w14:textId="77777777" w:rsidTr="008F6095">
        <w:trPr>
          <w:cantSplit/>
          <w:trHeight w:val="345"/>
        </w:trPr>
        <w:tc>
          <w:tcPr>
            <w:tcW w:w="2235" w:type="dxa"/>
            <w:tcBorders>
              <w:top w:val="single" w:sz="6" w:space="0" w:color="auto"/>
              <w:bottom w:val="single" w:sz="6" w:space="0" w:color="auto"/>
            </w:tcBorders>
            <w:vAlign w:val="center"/>
          </w:tcPr>
          <w:p w14:paraId="422D350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Chlorine (ppm)</w:t>
            </w:r>
          </w:p>
        </w:tc>
        <w:tc>
          <w:tcPr>
            <w:tcW w:w="1260" w:type="dxa"/>
            <w:tcBorders>
              <w:top w:val="single" w:sz="6" w:space="0" w:color="auto"/>
              <w:bottom w:val="single" w:sz="6" w:space="0" w:color="auto"/>
            </w:tcBorders>
            <w:vAlign w:val="center"/>
          </w:tcPr>
          <w:p w14:paraId="5B572F98"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5E00EE24" w:rsidR="001C1D95" w:rsidRPr="003B7B26" w:rsidRDefault="00EA0E29" w:rsidP="001C1D95">
            <w:pPr>
              <w:pStyle w:val="BodyText2"/>
              <w:jc w:val="center"/>
              <w:rPr>
                <w:rFonts w:ascii="Arial" w:hAnsi="Arial" w:cs="Arial"/>
                <w:sz w:val="18"/>
                <w:szCs w:val="18"/>
              </w:rPr>
            </w:pPr>
            <w:r>
              <w:rPr>
                <w:rFonts w:ascii="Arial" w:hAnsi="Arial" w:cs="Arial"/>
                <w:sz w:val="18"/>
                <w:szCs w:val="18"/>
              </w:rPr>
              <w:t>1.</w:t>
            </w:r>
            <w:r w:rsidR="006634C6">
              <w:rPr>
                <w:rFonts w:ascii="Arial" w:hAnsi="Arial" w:cs="Arial"/>
                <w:sz w:val="18"/>
                <w:szCs w:val="18"/>
              </w:rPr>
              <w:t>50</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602CFE5C" w:rsidR="001C1D95" w:rsidRPr="003B7B26" w:rsidRDefault="00EA0E29" w:rsidP="00C958FE">
            <w:pPr>
              <w:pStyle w:val="Preformatted"/>
              <w:tabs>
                <w:tab w:val="clear" w:pos="9590"/>
              </w:tabs>
              <w:jc w:val="center"/>
              <w:rPr>
                <w:rFonts w:ascii="Arial" w:hAnsi="Arial" w:cs="Arial"/>
                <w:sz w:val="18"/>
                <w:szCs w:val="18"/>
              </w:rPr>
            </w:pPr>
            <w:r>
              <w:rPr>
                <w:rFonts w:ascii="Arial" w:hAnsi="Arial" w:cs="Arial"/>
                <w:sz w:val="18"/>
                <w:szCs w:val="18"/>
              </w:rPr>
              <w:t>0.</w:t>
            </w:r>
            <w:r w:rsidR="006634C6">
              <w:rPr>
                <w:rFonts w:ascii="Arial" w:hAnsi="Arial" w:cs="Arial"/>
                <w:sz w:val="18"/>
                <w:szCs w:val="18"/>
              </w:rPr>
              <w:t>7</w:t>
            </w:r>
            <w:r>
              <w:rPr>
                <w:rFonts w:ascii="Arial" w:hAnsi="Arial" w:cs="Arial"/>
                <w:sz w:val="18"/>
                <w:szCs w:val="18"/>
              </w:rPr>
              <w:t>-</w:t>
            </w:r>
            <w:r w:rsidR="006634C6">
              <w:rPr>
                <w:rFonts w:ascii="Arial" w:hAnsi="Arial" w:cs="Arial"/>
                <w:sz w:val="18"/>
                <w:szCs w:val="18"/>
              </w:rPr>
              <w:t>2.2</w:t>
            </w:r>
          </w:p>
        </w:tc>
        <w:tc>
          <w:tcPr>
            <w:tcW w:w="990" w:type="dxa"/>
            <w:tcBorders>
              <w:top w:val="single" w:sz="6" w:space="0" w:color="auto"/>
              <w:bottom w:val="single" w:sz="6" w:space="0" w:color="auto"/>
            </w:tcBorders>
            <w:vAlign w:val="center"/>
          </w:tcPr>
          <w:p w14:paraId="107E1723" w14:textId="70EB5C45"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580748">
              <w:rPr>
                <w:rFonts w:ascii="Arial" w:hAnsi="Arial" w:cs="Arial"/>
                <w:sz w:val="18"/>
                <w:szCs w:val="18"/>
              </w:rPr>
              <w:t>4</w:t>
            </w:r>
          </w:p>
        </w:tc>
        <w:tc>
          <w:tcPr>
            <w:tcW w:w="4353" w:type="dxa"/>
            <w:tcBorders>
              <w:top w:val="single" w:sz="6" w:space="0" w:color="auto"/>
              <w:bottom w:val="single" w:sz="6" w:space="0" w:color="auto"/>
            </w:tcBorders>
            <w:vAlign w:val="center"/>
          </w:tcPr>
          <w:p w14:paraId="504A420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1C1D95" w:rsidRPr="003B7B26" w14:paraId="6E642ED4" w14:textId="77777777" w:rsidTr="008F6095">
        <w:trPr>
          <w:cantSplit/>
          <w:trHeight w:val="525"/>
        </w:trPr>
        <w:tc>
          <w:tcPr>
            <w:tcW w:w="2235" w:type="dxa"/>
            <w:tcBorders>
              <w:top w:val="single" w:sz="6" w:space="0" w:color="auto"/>
              <w:bottom w:val="single" w:sz="6" w:space="0" w:color="auto"/>
            </w:tcBorders>
            <w:vAlign w:val="center"/>
          </w:tcPr>
          <w:p w14:paraId="18BBB3A4"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260" w:type="dxa"/>
            <w:tcBorders>
              <w:top w:val="single" w:sz="6" w:space="0" w:color="auto"/>
              <w:bottom w:val="single" w:sz="6" w:space="0" w:color="auto"/>
            </w:tcBorders>
            <w:vAlign w:val="center"/>
          </w:tcPr>
          <w:p w14:paraId="73E75758"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1FA178FA" w:rsidR="001C1D95" w:rsidRPr="003B7B26" w:rsidRDefault="00580748" w:rsidP="001C1D95">
            <w:pPr>
              <w:pStyle w:val="Preformatted"/>
              <w:tabs>
                <w:tab w:val="clear" w:pos="9590"/>
              </w:tabs>
              <w:jc w:val="center"/>
              <w:rPr>
                <w:rFonts w:ascii="Arial" w:hAnsi="Arial" w:cs="Arial"/>
                <w:sz w:val="18"/>
                <w:szCs w:val="18"/>
              </w:rPr>
            </w:pPr>
            <w:r>
              <w:rPr>
                <w:rFonts w:ascii="Arial" w:hAnsi="Arial" w:cs="Arial"/>
                <w:sz w:val="18"/>
                <w:szCs w:val="18"/>
              </w:rPr>
              <w:t>2.</w:t>
            </w:r>
            <w:r w:rsidR="006634C6">
              <w:rPr>
                <w:rFonts w:ascii="Arial" w:hAnsi="Arial" w:cs="Arial"/>
                <w:sz w:val="18"/>
                <w:szCs w:val="18"/>
              </w:rPr>
              <w:t>37</w:t>
            </w:r>
          </w:p>
        </w:tc>
        <w:tc>
          <w:tcPr>
            <w:tcW w:w="990" w:type="dxa"/>
            <w:tcBorders>
              <w:top w:val="single" w:sz="6" w:space="0" w:color="auto"/>
              <w:bottom w:val="single" w:sz="6" w:space="0" w:color="auto"/>
            </w:tcBorders>
            <w:vAlign w:val="center"/>
          </w:tcPr>
          <w:p w14:paraId="65334AC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38B3F269" w:rsidR="001C1D95" w:rsidRPr="003B7B26" w:rsidRDefault="006634C6" w:rsidP="00C958FE">
            <w:pPr>
              <w:pStyle w:val="Preformatted"/>
              <w:tabs>
                <w:tab w:val="clear" w:pos="9590"/>
              </w:tabs>
              <w:jc w:val="center"/>
              <w:rPr>
                <w:rFonts w:ascii="Arial" w:hAnsi="Arial" w:cs="Arial"/>
                <w:sz w:val="18"/>
                <w:szCs w:val="18"/>
              </w:rPr>
            </w:pPr>
            <w:r>
              <w:rPr>
                <w:rFonts w:ascii="Arial" w:hAnsi="Arial" w:cs="Arial"/>
                <w:sz w:val="18"/>
                <w:szCs w:val="18"/>
              </w:rPr>
              <w:t>1.50-2.86</w:t>
            </w:r>
          </w:p>
        </w:tc>
        <w:tc>
          <w:tcPr>
            <w:tcW w:w="990" w:type="dxa"/>
            <w:tcBorders>
              <w:top w:val="single" w:sz="6" w:space="0" w:color="auto"/>
              <w:bottom w:val="single" w:sz="6" w:space="0" w:color="auto"/>
            </w:tcBorders>
            <w:vAlign w:val="center"/>
          </w:tcPr>
          <w:p w14:paraId="3B7688C5" w14:textId="087EFCAC" w:rsidR="001C1D95" w:rsidRPr="003B7B26" w:rsidRDefault="00580748" w:rsidP="008F60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Naturally present in the environment</w:t>
            </w:r>
          </w:p>
        </w:tc>
      </w:tr>
      <w:tr w:rsidR="001C1D95" w:rsidRPr="003B7B26" w14:paraId="7D98DAFA" w14:textId="77777777" w:rsidTr="008F6095">
        <w:trPr>
          <w:cantSplit/>
          <w:trHeight w:val="345"/>
        </w:trPr>
        <w:tc>
          <w:tcPr>
            <w:tcW w:w="2235" w:type="dxa"/>
            <w:tcBorders>
              <w:top w:val="single" w:sz="6" w:space="0" w:color="auto"/>
              <w:bottom w:val="single" w:sz="6" w:space="0" w:color="auto"/>
            </w:tcBorders>
            <w:vAlign w:val="center"/>
          </w:tcPr>
          <w:p w14:paraId="14657A79"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260" w:type="dxa"/>
            <w:tcBorders>
              <w:top w:val="single" w:sz="6" w:space="0" w:color="auto"/>
              <w:bottom w:val="single" w:sz="6" w:space="0" w:color="auto"/>
            </w:tcBorders>
            <w:vAlign w:val="center"/>
          </w:tcPr>
          <w:p w14:paraId="1418266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08F40660" w:rsidR="001C1D95" w:rsidRPr="003B7B26" w:rsidRDefault="006634C6" w:rsidP="001C1D95">
            <w:pPr>
              <w:pStyle w:val="Preformatted"/>
              <w:tabs>
                <w:tab w:val="clear" w:pos="9590"/>
              </w:tabs>
              <w:jc w:val="center"/>
              <w:rPr>
                <w:rFonts w:ascii="Arial" w:hAnsi="Arial" w:cs="Arial"/>
                <w:sz w:val="18"/>
                <w:szCs w:val="18"/>
              </w:rPr>
            </w:pPr>
            <w:r>
              <w:rPr>
                <w:rFonts w:ascii="Arial" w:hAnsi="Arial" w:cs="Arial"/>
                <w:sz w:val="18"/>
                <w:szCs w:val="18"/>
              </w:rPr>
              <w:t>66</w:t>
            </w:r>
          </w:p>
        </w:tc>
        <w:tc>
          <w:tcPr>
            <w:tcW w:w="990" w:type="dxa"/>
            <w:tcBorders>
              <w:top w:val="single" w:sz="6" w:space="0" w:color="auto"/>
              <w:bottom w:val="single" w:sz="6" w:space="0" w:color="auto"/>
            </w:tcBorders>
            <w:vAlign w:val="center"/>
          </w:tcPr>
          <w:p w14:paraId="1FC5560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0D0E9940" w:rsidR="001C1D95" w:rsidRPr="003B7B26" w:rsidRDefault="006634C6" w:rsidP="00F87A6E">
            <w:pPr>
              <w:pStyle w:val="Preformatted"/>
              <w:tabs>
                <w:tab w:val="clear" w:pos="9590"/>
              </w:tabs>
              <w:jc w:val="center"/>
              <w:rPr>
                <w:rFonts w:ascii="Arial" w:hAnsi="Arial" w:cs="Arial"/>
                <w:sz w:val="18"/>
                <w:szCs w:val="18"/>
              </w:rPr>
            </w:pPr>
            <w:r>
              <w:rPr>
                <w:rFonts w:ascii="Arial" w:hAnsi="Arial" w:cs="Arial"/>
                <w:sz w:val="18"/>
                <w:szCs w:val="18"/>
              </w:rPr>
              <w:t>6.1-66</w:t>
            </w:r>
          </w:p>
        </w:tc>
        <w:tc>
          <w:tcPr>
            <w:tcW w:w="990" w:type="dxa"/>
            <w:tcBorders>
              <w:top w:val="single" w:sz="6" w:space="0" w:color="auto"/>
              <w:bottom w:val="single" w:sz="6" w:space="0" w:color="auto"/>
            </w:tcBorders>
            <w:vAlign w:val="center"/>
          </w:tcPr>
          <w:p w14:paraId="29CEC778" w14:textId="111D8ACE"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CC71C62"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00AC4F47" w14:textId="77777777" w:rsidTr="008F6095">
        <w:trPr>
          <w:cantSplit/>
          <w:trHeight w:val="435"/>
        </w:trPr>
        <w:tc>
          <w:tcPr>
            <w:tcW w:w="2235" w:type="dxa"/>
            <w:tcBorders>
              <w:top w:val="single" w:sz="6" w:space="0" w:color="auto"/>
              <w:bottom w:val="single" w:sz="6" w:space="0" w:color="auto"/>
            </w:tcBorders>
            <w:vAlign w:val="center"/>
          </w:tcPr>
          <w:p w14:paraId="6C15A0E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Total Trihalomethanes (ppb)</w:t>
            </w:r>
          </w:p>
        </w:tc>
        <w:tc>
          <w:tcPr>
            <w:tcW w:w="1260" w:type="dxa"/>
            <w:tcBorders>
              <w:top w:val="single" w:sz="6" w:space="0" w:color="auto"/>
              <w:bottom w:val="single" w:sz="6" w:space="0" w:color="auto"/>
            </w:tcBorders>
            <w:vAlign w:val="center"/>
          </w:tcPr>
          <w:p w14:paraId="14CBAAE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3D152E4F" w:rsidR="001C1D95" w:rsidRPr="003B7B26" w:rsidRDefault="006634C6" w:rsidP="001C1D95">
            <w:pPr>
              <w:pStyle w:val="Preformatted"/>
              <w:tabs>
                <w:tab w:val="clear" w:pos="9590"/>
              </w:tabs>
              <w:jc w:val="center"/>
              <w:rPr>
                <w:rFonts w:ascii="Arial" w:hAnsi="Arial" w:cs="Arial"/>
                <w:sz w:val="18"/>
                <w:szCs w:val="18"/>
              </w:rPr>
            </w:pPr>
            <w:r>
              <w:rPr>
                <w:rFonts w:ascii="Arial" w:hAnsi="Arial" w:cs="Arial"/>
                <w:sz w:val="18"/>
                <w:szCs w:val="18"/>
              </w:rPr>
              <w:t>91</w:t>
            </w:r>
          </w:p>
        </w:tc>
        <w:tc>
          <w:tcPr>
            <w:tcW w:w="990" w:type="dxa"/>
            <w:tcBorders>
              <w:top w:val="single" w:sz="6" w:space="0" w:color="auto"/>
              <w:bottom w:val="single" w:sz="6" w:space="0" w:color="auto"/>
            </w:tcBorders>
            <w:vAlign w:val="center"/>
          </w:tcPr>
          <w:p w14:paraId="6E7C94D6"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0B0832CF" w:rsidR="001C1D95" w:rsidRPr="003B7B26" w:rsidRDefault="006634C6" w:rsidP="00C958FE">
            <w:pPr>
              <w:pStyle w:val="Preformatted"/>
              <w:tabs>
                <w:tab w:val="clear" w:pos="9590"/>
              </w:tabs>
              <w:jc w:val="center"/>
              <w:rPr>
                <w:rFonts w:ascii="Arial" w:hAnsi="Arial" w:cs="Arial"/>
                <w:sz w:val="18"/>
                <w:szCs w:val="18"/>
              </w:rPr>
            </w:pPr>
            <w:r>
              <w:rPr>
                <w:rFonts w:ascii="Arial" w:hAnsi="Arial" w:cs="Arial"/>
                <w:sz w:val="18"/>
                <w:szCs w:val="18"/>
              </w:rPr>
              <w:t>21-91</w:t>
            </w:r>
          </w:p>
        </w:tc>
        <w:tc>
          <w:tcPr>
            <w:tcW w:w="990" w:type="dxa"/>
            <w:tcBorders>
              <w:top w:val="single" w:sz="6" w:space="0" w:color="auto"/>
              <w:bottom w:val="single" w:sz="6" w:space="0" w:color="auto"/>
            </w:tcBorders>
            <w:vAlign w:val="center"/>
          </w:tcPr>
          <w:p w14:paraId="4DA97EF7" w14:textId="2810A2B3"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A78A058"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3D0C6ED0" w14:textId="77777777" w:rsidTr="008F6095">
        <w:trPr>
          <w:cantSplit/>
          <w:trHeight w:val="435"/>
        </w:trPr>
        <w:tc>
          <w:tcPr>
            <w:tcW w:w="2235" w:type="dxa"/>
            <w:vMerge w:val="restart"/>
            <w:tcBorders>
              <w:top w:val="single" w:sz="6" w:space="0" w:color="auto"/>
            </w:tcBorders>
            <w:vAlign w:val="center"/>
          </w:tcPr>
          <w:p w14:paraId="6D69FB48"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260" w:type="dxa"/>
            <w:vMerge w:val="restart"/>
            <w:tcBorders>
              <w:top w:val="single" w:sz="6" w:space="0" w:color="auto"/>
            </w:tcBorders>
            <w:vAlign w:val="center"/>
          </w:tcPr>
          <w:p w14:paraId="15D9E49C"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4B438FA0"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90</w:t>
            </w:r>
          </w:p>
        </w:tc>
        <w:tc>
          <w:tcPr>
            <w:tcW w:w="990" w:type="dxa"/>
            <w:tcBorders>
              <w:top w:val="single" w:sz="6" w:space="0" w:color="auto"/>
            </w:tcBorders>
            <w:vAlign w:val="center"/>
          </w:tcPr>
          <w:p w14:paraId="73FC1CE5"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436BDE7E"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31</w:t>
            </w:r>
            <w:r>
              <w:rPr>
                <w:rFonts w:ascii="Arial" w:hAnsi="Arial" w:cs="Arial"/>
                <w:sz w:val="18"/>
                <w:szCs w:val="18"/>
              </w:rPr>
              <w:t xml:space="preserve"> – 0.0</w:t>
            </w:r>
            <w:r w:rsidR="006634C6">
              <w:rPr>
                <w:rFonts w:ascii="Arial" w:hAnsi="Arial" w:cs="Arial"/>
                <w:sz w:val="18"/>
                <w:szCs w:val="18"/>
              </w:rPr>
              <w:t>90</w:t>
            </w:r>
          </w:p>
        </w:tc>
        <w:tc>
          <w:tcPr>
            <w:tcW w:w="990" w:type="dxa"/>
            <w:vMerge w:val="restart"/>
            <w:tcBorders>
              <w:top w:val="single" w:sz="6" w:space="0" w:color="auto"/>
            </w:tcBorders>
            <w:vAlign w:val="center"/>
          </w:tcPr>
          <w:p w14:paraId="13D9E0EE" w14:textId="74E01A4E"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vMerge w:val="restart"/>
            <w:tcBorders>
              <w:top w:val="single" w:sz="6" w:space="0" w:color="auto"/>
            </w:tcBorders>
            <w:vAlign w:val="center"/>
          </w:tcPr>
          <w:p w14:paraId="2896D23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Soil runoff</w:t>
            </w:r>
          </w:p>
        </w:tc>
      </w:tr>
      <w:tr w:rsidR="001C1D95" w:rsidRPr="003B7B26" w14:paraId="6E9D3AF0" w14:textId="77777777" w:rsidTr="008F6095">
        <w:trPr>
          <w:cantSplit/>
          <w:trHeight w:val="507"/>
        </w:trPr>
        <w:tc>
          <w:tcPr>
            <w:tcW w:w="2235" w:type="dxa"/>
            <w:vMerge/>
          </w:tcPr>
          <w:p w14:paraId="2103F6AF" w14:textId="77777777" w:rsidR="001C1D95" w:rsidRPr="003B7B26" w:rsidRDefault="001C1D95" w:rsidP="001C1D95">
            <w:pPr>
              <w:pStyle w:val="Preformatted"/>
              <w:tabs>
                <w:tab w:val="clear" w:pos="9590"/>
              </w:tabs>
              <w:rPr>
                <w:rFonts w:ascii="Arial" w:hAnsi="Arial" w:cs="Arial"/>
                <w:sz w:val="18"/>
                <w:szCs w:val="18"/>
              </w:rPr>
            </w:pPr>
          </w:p>
        </w:tc>
        <w:tc>
          <w:tcPr>
            <w:tcW w:w="1260" w:type="dxa"/>
            <w:vMerge/>
          </w:tcPr>
          <w:p w14:paraId="301B583D" w14:textId="77777777" w:rsidR="001C1D95" w:rsidRPr="003B7B26" w:rsidRDefault="001C1D95" w:rsidP="001C1D95">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1C1D95" w:rsidRPr="003B7B26" w:rsidRDefault="001C1D95" w:rsidP="001C1D95">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1C1D95" w:rsidRPr="003B7B26" w:rsidRDefault="001C1D95" w:rsidP="001C1D95">
            <w:pPr>
              <w:pStyle w:val="Preformatted"/>
              <w:tabs>
                <w:tab w:val="clear" w:pos="9590"/>
              </w:tabs>
              <w:jc w:val="center"/>
              <w:rPr>
                <w:rFonts w:ascii="Arial" w:hAnsi="Arial" w:cs="Arial"/>
                <w:sz w:val="18"/>
                <w:szCs w:val="18"/>
              </w:rPr>
            </w:pPr>
          </w:p>
        </w:tc>
        <w:tc>
          <w:tcPr>
            <w:tcW w:w="990" w:type="dxa"/>
            <w:vMerge/>
          </w:tcPr>
          <w:p w14:paraId="07E1FB94" w14:textId="77777777" w:rsidR="001C1D95" w:rsidRPr="003B7B26" w:rsidRDefault="001C1D95" w:rsidP="001C1D95">
            <w:pPr>
              <w:pStyle w:val="Preformatted"/>
              <w:tabs>
                <w:tab w:val="clear" w:pos="9590"/>
              </w:tabs>
              <w:jc w:val="center"/>
              <w:rPr>
                <w:rFonts w:ascii="Arial" w:hAnsi="Arial" w:cs="Arial"/>
                <w:sz w:val="18"/>
                <w:szCs w:val="18"/>
              </w:rPr>
            </w:pPr>
          </w:p>
        </w:tc>
        <w:tc>
          <w:tcPr>
            <w:tcW w:w="4353" w:type="dxa"/>
            <w:vMerge/>
          </w:tcPr>
          <w:p w14:paraId="037D07B4" w14:textId="77777777" w:rsidR="001C1D95" w:rsidRPr="003B7B26" w:rsidRDefault="001C1D95" w:rsidP="001C1D95">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2AB69640" w14:textId="77777777" w:rsidTr="005959AC">
        <w:trPr>
          <w:trHeight w:val="602"/>
        </w:trPr>
        <w:tc>
          <w:tcPr>
            <w:tcW w:w="2448" w:type="dxa"/>
            <w:vAlign w:val="center"/>
          </w:tcPr>
          <w:p w14:paraId="4E1A7B1F"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vAlign w:val="center"/>
          </w:tcPr>
          <w:p w14:paraId="3E684E6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vAlign w:val="center"/>
          </w:tcPr>
          <w:p w14:paraId="4294D9C7"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vAlign w:val="center"/>
          </w:tcPr>
          <w:p w14:paraId="637373A5"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4680" w:type="dxa"/>
            <w:vAlign w:val="center"/>
          </w:tcPr>
          <w:p w14:paraId="5F285E4D"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580748" w:rsidRPr="003B7B26" w14:paraId="2481B8CE" w14:textId="77777777" w:rsidTr="005959AC">
        <w:trPr>
          <w:trHeight w:val="525"/>
        </w:trPr>
        <w:tc>
          <w:tcPr>
            <w:tcW w:w="2448" w:type="dxa"/>
            <w:vAlign w:val="center"/>
          </w:tcPr>
          <w:p w14:paraId="5072484F" w14:textId="76A471EF" w:rsidR="00580748" w:rsidRPr="003B7B26" w:rsidRDefault="0058074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580748" w:rsidRPr="003B7B26" w:rsidRDefault="0058074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580748" w:rsidRPr="003B7B26" w:rsidRDefault="0058074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vAlign w:val="center"/>
          </w:tcPr>
          <w:p w14:paraId="09205CB3" w14:textId="43D4B14E" w:rsidR="00580748" w:rsidRDefault="008F6095"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vAlign w:val="center"/>
          </w:tcPr>
          <w:p w14:paraId="3990E9E3" w14:textId="408FDFEF" w:rsidR="00580748" w:rsidRDefault="008F609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vAlign w:val="center"/>
          </w:tcPr>
          <w:p w14:paraId="07697F69" w14:textId="25563A65" w:rsidR="00580748" w:rsidRDefault="00363860"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vAlign w:val="center"/>
          </w:tcPr>
          <w:p w14:paraId="75499FBB" w14:textId="028600C9" w:rsidR="00580748" w:rsidRPr="003B7B26" w:rsidRDefault="0058074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4A0358" w:rsidRPr="003B7B26" w14:paraId="34ABF2AD" w14:textId="77777777" w:rsidTr="005959AC">
        <w:trPr>
          <w:trHeight w:val="525"/>
        </w:trPr>
        <w:tc>
          <w:tcPr>
            <w:tcW w:w="2448" w:type="dxa"/>
            <w:vAlign w:val="center"/>
          </w:tcPr>
          <w:p w14:paraId="39AEECC4"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sidR="00240E30">
              <w:rPr>
                <w:rFonts w:cs="Arial"/>
                <w:color w:val="000000"/>
                <w:sz w:val="18"/>
                <w:szCs w:val="18"/>
              </w:rPr>
              <w:t xml:space="preserve"> mg/L</w:t>
            </w:r>
          </w:p>
        </w:tc>
        <w:tc>
          <w:tcPr>
            <w:tcW w:w="1350" w:type="dxa"/>
            <w:vAlign w:val="center"/>
          </w:tcPr>
          <w:p w14:paraId="41546E52"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vAlign w:val="center"/>
          </w:tcPr>
          <w:p w14:paraId="5F1928C3" w14:textId="5E564AB9" w:rsidR="004A0358" w:rsidRPr="003B7B26" w:rsidRDefault="008F6095"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vAlign w:val="center"/>
          </w:tcPr>
          <w:p w14:paraId="633DAD09" w14:textId="6A8EB3BB" w:rsidR="004A0358" w:rsidRPr="003B7B26" w:rsidRDefault="008F609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vAlign w:val="center"/>
          </w:tcPr>
          <w:p w14:paraId="50241733" w14:textId="77777777" w:rsidR="004A0358" w:rsidRPr="003B7B26" w:rsidRDefault="005959AC"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vAlign w:val="center"/>
          </w:tcPr>
          <w:p w14:paraId="139ACCB5"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4389B628"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64BFA1CB" w:rsidR="00BC1D5C" w:rsidRPr="004A0CA6" w:rsidRDefault="008F6095" w:rsidP="00F87A6E">
            <w:pPr>
              <w:jc w:val="center"/>
              <w:rPr>
                <w:rFonts w:cstheme="minorHAnsi"/>
                <w:noProof/>
                <w:sz w:val="18"/>
                <w:szCs w:val="18"/>
              </w:rPr>
            </w:pPr>
            <w:r>
              <w:rPr>
                <w:rFonts w:cstheme="minorHAnsi"/>
                <w:noProof/>
                <w:sz w:val="18"/>
                <w:szCs w:val="18"/>
              </w:rPr>
              <w:t>14.1</w:t>
            </w:r>
            <w:r w:rsidR="00BC1D5C" w:rsidRPr="004A0CA6">
              <w:rPr>
                <w:rFonts w:cstheme="minorHAnsi"/>
                <w:noProof/>
                <w:sz w:val="18"/>
                <w:szCs w:val="18"/>
              </w:rPr>
              <w:t xml:space="preserve"> (mg/L)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lastRenderedPageBreak/>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77777777"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 xml:space="preserve">The Tazewell County PSA-Raven/Doran system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1,065 unknown materials in the system. These will be included in our replacement plan.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63416" w14:textId="77777777" w:rsidR="00F46007" w:rsidRDefault="00F46007">
      <w:r>
        <w:separator/>
      </w:r>
    </w:p>
  </w:endnote>
  <w:endnote w:type="continuationSeparator" w:id="0">
    <w:p w14:paraId="684EF5A2" w14:textId="77777777" w:rsidR="00F46007" w:rsidRDefault="00F4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88D03" w14:textId="77777777" w:rsidR="00F46007" w:rsidRDefault="00F46007">
      <w:r>
        <w:separator/>
      </w:r>
    </w:p>
  </w:footnote>
  <w:footnote w:type="continuationSeparator" w:id="0">
    <w:p w14:paraId="08258374" w14:textId="77777777" w:rsidR="00F46007" w:rsidRDefault="00F4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1299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568DC"/>
    <w:rsid w:val="0027271E"/>
    <w:rsid w:val="00286259"/>
    <w:rsid w:val="002A7C4E"/>
    <w:rsid w:val="002D28CA"/>
    <w:rsid w:val="002D4395"/>
    <w:rsid w:val="00301E63"/>
    <w:rsid w:val="00354BCF"/>
    <w:rsid w:val="00363860"/>
    <w:rsid w:val="00380616"/>
    <w:rsid w:val="00394FA3"/>
    <w:rsid w:val="003A27D2"/>
    <w:rsid w:val="003B7B26"/>
    <w:rsid w:val="00410102"/>
    <w:rsid w:val="0046092D"/>
    <w:rsid w:val="00463B2A"/>
    <w:rsid w:val="00467698"/>
    <w:rsid w:val="0049434E"/>
    <w:rsid w:val="00496204"/>
    <w:rsid w:val="004A0358"/>
    <w:rsid w:val="004A0CA6"/>
    <w:rsid w:val="004B0139"/>
    <w:rsid w:val="004D69FB"/>
    <w:rsid w:val="004E305A"/>
    <w:rsid w:val="00533B68"/>
    <w:rsid w:val="00551BF2"/>
    <w:rsid w:val="00557659"/>
    <w:rsid w:val="00573CBE"/>
    <w:rsid w:val="00580748"/>
    <w:rsid w:val="005959AC"/>
    <w:rsid w:val="005962AA"/>
    <w:rsid w:val="005A726C"/>
    <w:rsid w:val="005B3CEF"/>
    <w:rsid w:val="005D3B1D"/>
    <w:rsid w:val="005D5C1A"/>
    <w:rsid w:val="005D7A92"/>
    <w:rsid w:val="005F1935"/>
    <w:rsid w:val="006634C6"/>
    <w:rsid w:val="00667716"/>
    <w:rsid w:val="00671200"/>
    <w:rsid w:val="006728A3"/>
    <w:rsid w:val="00674CDB"/>
    <w:rsid w:val="006A26B8"/>
    <w:rsid w:val="006C03C3"/>
    <w:rsid w:val="006E5CA3"/>
    <w:rsid w:val="006E7E61"/>
    <w:rsid w:val="00710713"/>
    <w:rsid w:val="0071495A"/>
    <w:rsid w:val="00733BEC"/>
    <w:rsid w:val="00752DF1"/>
    <w:rsid w:val="00754A92"/>
    <w:rsid w:val="007645CD"/>
    <w:rsid w:val="0080443E"/>
    <w:rsid w:val="00820A7C"/>
    <w:rsid w:val="008640D4"/>
    <w:rsid w:val="00864D7A"/>
    <w:rsid w:val="008B386F"/>
    <w:rsid w:val="008E2D31"/>
    <w:rsid w:val="008F6095"/>
    <w:rsid w:val="009328C9"/>
    <w:rsid w:val="00942E31"/>
    <w:rsid w:val="00962A3D"/>
    <w:rsid w:val="0096331E"/>
    <w:rsid w:val="00972608"/>
    <w:rsid w:val="00976031"/>
    <w:rsid w:val="009A7AC6"/>
    <w:rsid w:val="00A34E67"/>
    <w:rsid w:val="00A378B4"/>
    <w:rsid w:val="00A44064"/>
    <w:rsid w:val="00A46211"/>
    <w:rsid w:val="00A60330"/>
    <w:rsid w:val="00A66929"/>
    <w:rsid w:val="00A76848"/>
    <w:rsid w:val="00AA11CF"/>
    <w:rsid w:val="00AA1CE9"/>
    <w:rsid w:val="00AB1E30"/>
    <w:rsid w:val="00AE4D47"/>
    <w:rsid w:val="00AF1DFD"/>
    <w:rsid w:val="00B07CCC"/>
    <w:rsid w:val="00B149DA"/>
    <w:rsid w:val="00B47390"/>
    <w:rsid w:val="00B84F0C"/>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4002E"/>
    <w:rsid w:val="00F46007"/>
    <w:rsid w:val="00F55E76"/>
    <w:rsid w:val="00F61860"/>
    <w:rsid w:val="00F70A06"/>
    <w:rsid w:val="00F75903"/>
    <w:rsid w:val="00F87A6E"/>
    <w:rsid w:val="00F973B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2025-04-25T18:39:00Z</dcterms:created>
  <dcterms:modified xsi:type="dcterms:W3CDTF">2025-04-25T18:39:00Z</dcterms:modified>
</cp:coreProperties>
</file>